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88627ae5044c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28356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BUDINŠČINA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623.703,66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973.838,41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600.641,38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728.485,55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23.062,28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245.352,86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1063,9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6.912,50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14.089,38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134.470,07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954,4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7.176,88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134.434,16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1873,2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82.661,54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77.694,84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94,0</w:t>
            </w:r>
          </w:p>
        </w:tc>
      </w:tr>
    </w:tbl>
    <w:p>
      <w:pPr>
        <w:spacing w:before="0" w:after="0"/>
      </w:pPr>
    </w:p>
    <w:p>
      <w:r>
        <w:t xml:space="preserve">Na ostvarivanje prihoda općinskog proračuna u prvom polugodištu 2026. godine utjecala su pozitivni učinci poreznih izmjena tijekom 2025. godine, veća zaposlenost građana s područja općine, prihodi od institucija za uplaćena sredstva za projekt Rekonstrukcija i dogradnja javne i društvene namjene DVD Budinščina, te više ostvarene prihode od pomoći iz državnog proračuna za fiskalno izravnanje u odnosu na isto razdoblje prethodne godine. </w:t>
      </w:r>
    </w:p>
    <w:p>
      <w:r>
        <w:t xml:space="preserve">Ukupno ostvareni rezultat poslovanja prvog polugodišta ove 2026. godine je višak prihoda i primitaka od 245.352,86 eura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20.801,98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81.570,52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392,1</w:t>
            </w:r>
          </w:p>
        </w:tc>
      </w:tr>
    </w:tbl>
    <w:p>
      <w:pPr>
        <w:spacing w:before="0" w:after="0"/>
      </w:pPr>
    </w:p>
    <w:p>
      <w:r>
        <w:t xml:space="preserve">Šifra 65 – Prihodi od upravnih i administ. pristojbi po posebnim propisima i naknadama</w:t>
      </w:r>
    </w:p>
    <w:p>
      <w:r>
        <w:t xml:space="preserve">Prihodi ostvareni u ovom polugodištu veći su u odnosu na isto razdoblje prethodne godine zbog provedenih postupaka prisilne naplate dospjelih potraživanja tijekom 2025. godine. Na povećanje prihoda utjecala je i uplata sredstava iz obveznog mirovinskog fonda iza pokojnog D. H.  kao i povećani prihodi od komunalne naknade zbog donošenja Odluke o povećanju vrijednosti boda za obračun komunalne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600.641,38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728.485,55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121,3</w:t>
            </w:r>
          </w:p>
        </w:tc>
      </w:tr>
    </w:tbl>
    <w:p>
      <w:pPr>
        <w:spacing w:before="0" w:after="0"/>
      </w:pPr>
    </w:p>
    <w:p>
      <w:r>
        <w:t xml:space="preserve">Rashodi su veći od prošlogodišnjih za iznos od 127.844,17 eura iz razloga povećanja rashoda za zaposlene, materijalnih rashoda, pomoći dane iz općeg proračuna – za prijenos proračunskom korisniku – dječjem vrtiću, naknade građanima i kućanstvima,i rashodi koji se odnose se na  donacije i to za sufinanciranje CK Krapina -  nositelja projekta i pružatelja usluge izvaninstitucionalne skrbi putem Poslovne jedinice – Gerontološki centar Zajezda.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204.596,78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231.080,23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112,9</w:t>
            </w:r>
          </w:p>
        </w:tc>
      </w:tr>
    </w:tbl>
    <w:p>
      <w:pPr>
        <w:spacing w:before="0" w:after="0"/>
      </w:pPr>
    </w:p>
    <w:p>
      <w:r>
        <w:t xml:space="preserve">Rashodi su veći iz razloga povećanih troškova energije i plina, intelektualnih usluga, stručno usavršavanje zaposlenika, usluge tekućeg održavanja.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5.654,25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10.981,29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194,2</w:t>
            </w:r>
          </w:p>
        </w:tc>
      </w:tr>
    </w:tbl>
    <w:p>
      <w:pPr>
        <w:spacing w:before="0" w:after="0"/>
      </w:pPr>
    </w:p>
    <w:p>
      <w:r>
        <w:t xml:space="preserve">Rashodi su veći u odnosu na isto razdoblje prethodne godine zbog plaćanja kamata na primljene kredite kojima se Općina zadužila tijekom 2025. godine radi premošćivanja jaza nastalog zbog neusklađenog priljeva i odljeva novčanih sredstava. Na povećanje rashoda utjecali su i veći rashodi za bankarske usluge.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180.617,05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242.716,68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134,4</w:t>
            </w:r>
          </w:p>
        </w:tc>
      </w:tr>
    </w:tbl>
    <w:p>
      <w:pPr>
        <w:spacing w:before="0" w:after="0"/>
      </w:pPr>
    </w:p>
    <w:p>
      <w:r>
        <w:t xml:space="preserve">Rashodi  su veći,  a isti su učinak većih troškova za sufinanciranje rada Dječjeg vrtića Budinščina te troškova sufinanciranja djece kojem je osnivač druga JLS.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6.912,50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0,5</w:t>
            </w:r>
          </w:p>
        </w:tc>
      </w:tr>
    </w:tbl>
    <w:p>
      <w:pPr>
        <w:spacing w:before="0" w:after="0"/>
      </w:pPr>
    </w:p>
    <w:p>
      <w:r>
        <w:t xml:space="preserve">Prihodi od prodaje nefinancijske odnose se na prihode na kojima postoji stanarsko pravo.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14.089,38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134.470,07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954,4</w:t>
            </w:r>
          </w:p>
        </w:tc>
      </w:tr>
    </w:tbl>
    <w:p>
      <w:pPr>
        <w:spacing w:before="0" w:after="0"/>
      </w:pPr>
    </w:p>
    <w:p>
      <w:r>
        <w:t xml:space="preserve">Rashodi za nabavu nefinancijske imovine  iznose 134.470,07 eura i veći su u odnosu na prošlu godinu. Izvršeni rashodi se odnose na troškove izrade izvedbenog projekta za rekonstrukciju DVD Budinščina, troškovi za projekt sanacija klizišta u naselju Topličica koji uključuje stručni nadzor, troškove za izmjenu III. prostornog plana Općine Budinščina te troškovi po I. privremenoj situaciji za projekt rekonstrukcije društvenog doma u Gotalovcu. 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33.223,86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24,9</w:t>
            </w:r>
          </w:p>
        </w:tc>
      </w:tr>
    </w:tbl>
    <w:p>
      <w:pPr>
        <w:spacing w:before="0" w:after="0"/>
      </w:pPr>
    </w:p>
    <w:p>
      <w:r>
        <w:t xml:space="preserve">Izdaci za financijsku imovinu i otplate zajma  ostvareni su u iznosu od 33.223,86 eura  odnose se na otplatu rata dugoročnog kredita u iznosu od 33.223,86 eura.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24.663,20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na dan 30.06.2026. godine  uglavnom su obveze za rashode poslovanja i rashode za financijsku imovinu. Dospjele obveze šifra V 007 u iznosu od 24.663,20 eura odnose se na rashode poslovanja,  a najvećim dijelom na rashode održavanja objekata fakturirane  prošle godine, a za iste u ovoj godini nema osiguranih izvora sredstava. Iste će se podmirivati u narednom polugodištu. 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933.756,69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 odnose se na obveze za rashode poslovanja  u iznosu od 24.365,15 eura ( plaće zaposlenih i tekući materijalni rashodi)  i obveze za financijsku imovinu  u iznosu od 848.275,01 – obveze za kreditne aranžmane – okvirni kredit po transakcijskom računu i dugoročni kredit kojim se općina zadužila u vrijeme izgradnje dječjeg vrtića. Također obveze za predujmove iznose 10.649,84 eura.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0a45bc120e74fee" /></Relationships>
</file>