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04e5c70714eb6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28356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BUDINŠČINA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23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702.718,67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1.048.998,69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149,3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641.599,67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804.645,79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125,4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61.119,00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244.352,90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399,8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6.912,50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14.499,61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134.470,07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927,4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7.587,11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134.434,16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1771,9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200.000,00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133.223,86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33.223,86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PRIMITAKA OD FINANCIJSKE IMOVINE I ZADUŽIVANJA (šifre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33.223,86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120.308,03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76.694,88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63,7</w:t>
            </w:r>
          </w:p>
        </w:tc>
      </w:tr>
    </w:tbl>
    <w:p>
      <w:pPr>
        <w:spacing w:before="0" w:after="0"/>
      </w:pPr>
    </w:p>
    <w:p>
      <w:r>
        <w:t xml:space="preserve">Općina Budinščina u  razdoblju od 1.1.2026. do 30.6.2026. godine u obrascu  izvještaj PR-RAS konsolidira prihode i primitaka Proračun Općine Budinščina  i prihode proračunskog korisnika  „Dječji vrtić Budinščina. </w:t>
      </w:r>
    </w:p>
    <w:p>
      <w:r>
        <w:t xml:space="preserve">Prihodi iskazani kod proračunskog korisnika na kontu 671- Prihodi iz nadležnog proračuna za financiranje redovne djelatnosti proračunskog korisnika iznose 217.128,62 eura, a  rashodi kod Općine Budinščina na kontu 367- Prijenosi proračunskim korisnicima iz nadležnog proračuna za financiranje redovne djelatnosti također  iznose od 217.128,62 eura iz čega je vidljivo da su podaci ispravno knjiženi i unijeti u obrasce razine 21 i razine 22.  </w:t>
      </w:r>
    </w:p>
    <w:p>
      <w:r>
        <w:t xml:space="preserve">Prilikom konsolidacije prihodi Dječjeg vrtića umanjuju se za iznos za doznačena  sredstava iz Općinskog proračunu ,  konto 671-  od 217.128,62 eura,  a ostatak prihoda Dječjeg vrtića u iznosu od 79.160,28 eura konsolidira se s prihodima Općine Budinščina u iznosu od 973.838,41 eura.</w:t>
      </w:r>
    </w:p>
    <w:p>
      <w:r>
        <w:t xml:space="preserve">Ukupni ostvareni prihodi i primici za prvo polugodište iznose 2026. godinu iznose 1.049.034,60 eura na što su utjecali pozitivni učinci poreznih izmjena tijekom 2025. godine, očito veća zaposlenost prije svega mlađeg stanovništva s područja općine, te ostvareni prihodi od institucija i tijela EU. </w:t>
      </w:r>
    </w:p>
    <w:p>
      <w:r>
        <w:t xml:space="preserve"> </w:t>
      </w:r>
    </w:p>
    <w:p>
      <w:r>
        <w:t xml:space="preserve">Ostvareni višak prihoda i primitaka ovog razdoblja u iznosu od 76.694,88 eura rezultat je viška prihoda poslovanja.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702.718,67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1.048.998,69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149,3</w:t>
            </w:r>
          </w:p>
        </w:tc>
      </w:tr>
    </w:tbl>
    <w:p>
      <w:pPr>
        <w:spacing w:before="0" w:after="0"/>
      </w:pPr>
    </w:p>
    <w:p>
      <w:r>
        <w:t xml:space="preserve">Prihodi  poslovanja,  konto 6 - ostvareni u razdoblju od 1.1.2026. do 30.6.2026. godine iznose 1.048.998,69 eura od čega se na Općinu Budinščina odnosi 973.838,41 eura a na Dječji vrtić Budinščina 79.160,28 eura.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poreza (šifre 611+612+613+614+615+616)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347.819,21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606.553,36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174,4</w:t>
            </w:r>
          </w:p>
        </w:tc>
      </w:tr>
    </w:tbl>
    <w:p>
      <w:pPr>
        <w:spacing w:before="0" w:after="0"/>
      </w:pPr>
    </w:p>
    <w:p>
      <w:r>
        <w:t xml:space="preserve">Prihodi od poreza ostvareni su u iznosu su od 606.553,36 eura i veći su za 74,39 % u odnosu na isto razdoblje prethodne godine, što ukazuje na stabilnost zaposlenja na području Općine.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 inozemstva i od subjekata unutar općeg proračuna (šifre 631+632+633+634+635+636+637+638+639)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269.344,77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291.673,68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108,3</w:t>
            </w:r>
          </w:p>
        </w:tc>
      </w:tr>
    </w:tbl>
    <w:p>
      <w:pPr>
        <w:spacing w:before="0" w:after="0"/>
      </w:pPr>
    </w:p>
    <w:p>
      <w:r>
        <w:t xml:space="preserve">63- Pomoći iz inozemstva i od subjekata unutar općeg proračuna  konto 63 koje su veće u odnosu na prošlogodišnje prihode za 22.328,91 eura od čega je iznos od 50.460,24 eura kapitalne pomoći od institucija i tijela EU, 18.343,04 eura pomoći od izvanproračunskog kosrisnika, a ostatak su veće pomoći fiskalnog izravnanja u ovoj godini gledajući na isto razdoblje prethodne godine.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64.210,65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110.692,49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172,4</w:t>
            </w:r>
          </w:p>
        </w:tc>
      </w:tr>
    </w:tbl>
    <w:p>
      <w:pPr>
        <w:spacing w:before="0" w:after="0"/>
      </w:pPr>
    </w:p>
    <w:p>
      <w:r>
        <w:t xml:space="preserve">Ostali nespomenuti prihodi ostvareni su u iznosu od 110.692,49 eura što je više u odnosu na isto razdoblje prethodne godine za 72,39%, a ostvareni su u Dječjem vrtiću s naslova veće ekonomske cijene dječjeg vrtića koju sufinanciraju roditelji za djecu dječjeg vrtića  s područja drugih JLS.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641.599,67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804.645,79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125,4</w:t>
            </w:r>
          </w:p>
        </w:tc>
      </w:tr>
    </w:tbl>
    <w:p>
      <w:pPr>
        <w:spacing w:before="0" w:after="0"/>
      </w:pPr>
    </w:p>
    <w:p>
      <w:r>
        <w:t xml:space="preserve">Ukupno ostvareni rashodi poslovanja  konto 3 - iznose 804.645,79 eura od čega se na Općinu Budinščina odnosi 511.356,93 eura, a na Dječji vrtić Budinščina iznos od 293.288,86 eura. Veći rashodi uglavnom su radi većih rashoda za plaće zaposlenih na što je utjecala veća osnovica za plaće te koeficijenti zaposlenih kako u vrtiću tako i u općini.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donacije, kazne, naknade šteta i kapitalne pomoći (šifre 381+382+383+386)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92.307,46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131.413,15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142,4</w:t>
            </w:r>
          </w:p>
        </w:tc>
      </w:tr>
    </w:tbl>
    <w:p>
      <w:pPr>
        <w:spacing w:before="0" w:after="0"/>
      </w:pPr>
    </w:p>
    <w:p>
      <w:r>
        <w:t xml:space="preserve">Rashodi za tekuće donacije u ovom polugodištu znatno su veći u odnosu na prošlu godinu  iz razloga evidentiranja troškova za financiranje rada udruga građana  u ovom polugodištu.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6.912,50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0,5</w:t>
            </w:r>
          </w:p>
        </w:tc>
      </w:tr>
    </w:tbl>
    <w:p>
      <w:pPr>
        <w:spacing w:before="0" w:after="0"/>
      </w:pPr>
    </w:p>
    <w:p>
      <w:r>
        <w:t xml:space="preserve">Prihodi od prodaje nefinancijske odnose se na prihode na kojima postoji stanarsko pravo.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14.499,61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134.470,07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927,4</w:t>
            </w:r>
          </w:p>
        </w:tc>
      </w:tr>
    </w:tbl>
    <w:p>
      <w:pPr>
        <w:spacing w:before="0" w:after="0"/>
      </w:pPr>
    </w:p>
    <w:p>
      <w:r>
        <w:t xml:space="preserve">Rashodi za nabavu nefinancijske imovine iznose 134.470,07 eura, veći su u odnosu na prošlu godinu i u cijelosti se odnose isključivo na kapitalne projekte Općine Budinščina, dok proračunski korisnik nije imao ostvarenih rashoda u ovom razredu. Navedeni izvršeni rashodi obuhvaćaju troškove izrade izvedbenog projekta za rekonstrukciju DVD-a Budinščina, sanaciju klizišta u naselju Topličica uz stručni nadzor, izmjenu III. prostornog plana Općine te plaćanje po I. privremenoj situaciji za rekonstrukciju društvenog doma u Gotalovcu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proizvedene dugotrajne imovine (šifre 421+422+423+424+425+426)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4.572,73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134.470,07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2940,7</w:t>
            </w:r>
          </w:p>
        </w:tc>
      </w:tr>
    </w:tbl>
    <w:p>
      <w:pPr>
        <w:spacing w:before="0" w:after="0"/>
      </w:pPr>
    </w:p>
    <w:p>
      <w:r>
        <w:t xml:space="preserve">Rashodi za nabavu nefinancijske imovine iznose 134.470,07 eura, veći su u odnosu na prošlu godinu i u cijelosti se odnose isključivo na kapitalne projekte Općine Budinščina, dok proračunski korisnik nije imao ostvarenih rashoda u ovom razredu. Navedeni izvršeni rashodi obuhvaćaju troškove izrade izvedbenog projekta za rekonstrukciju DVD-a Budinščina, sanaciju klizišta u naselju Topličica uz stručni nadzor, izmjenu III. prostornog plana Općine te plaćanje po I. privremenoj situaciji za rekonstrukciju društvenog doma u Gotalovcu.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133.223,86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33.223,86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24,9</w:t>
            </w:r>
          </w:p>
        </w:tc>
      </w:tr>
    </w:tbl>
    <w:p>
      <w:pPr>
        <w:spacing w:before="0" w:after="0"/>
      </w:pPr>
    </w:p>
    <w:p>
      <w:r>
        <w:t xml:space="preserve">Izdaci za financijsku imovinu i otplate zajma  ostvareni su u iznosu od 33.223,86 eura  odnose se na otplatu rata dugoročnog kredita u iznosu od 33.223,86 eura. cijeli se odnosi na Općinu Budinščina.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120.308,03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76.694,88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63,7</w:t>
            </w:r>
          </w:p>
        </w:tc>
      </w:tr>
    </w:tbl>
    <w:p>
      <w:pPr>
        <w:spacing w:before="0" w:after="0"/>
      </w:pPr>
    </w:p>
    <w:p>
      <w:r>
        <w:t xml:space="preserve">Višak prihoda i primitaka ovog polugodišta nakon konsolidacije ukupno iznosi 76.694,88 eura, u čemu je višak ostvaren za Općinu Budinščina u iznosu od 77.694,84 eura, a proračunski korisnik – Dječji vrtić Budinščina je ostvario manjak u iznosu od 999,96 eura.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24.663,20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Dospjele obveze  iznose 24.663,20 eura i sve su obveze Općine Budinščina </w:t>
      </w:r>
    </w:p>
    <w:p>
      <w:r>
        <w:t xml:space="preserve"> </w:t>
      </w:r>
    </w:p>
    <w:p>
      <w:r>
        <w:t xml:space="preserve">Prekoračenja u dospjelosti navedenih obveza uglavnom se  odnose na prekoračenje od 1-60  i manji iznos do 180 dana te obveza do 360 dana.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976.253,49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Nedospjele obveze iznose 976.253,49 eura  u čemu su sredstva za obveze za rashode poslovanja 66.861,95 eura ( Općina Budinščina 24.365,15 eura i obveze vrtića 42.496,80 eura). Ove obveze odnose se na obveze za plaće i materijalne rashode. </w:t>
      </w:r>
    </w:p>
    <w:p>
      <w:r>
        <w:t xml:space="preserve">Najveći iznos nedospjelih obveza  odnosi na nedospjele kreditne obveze od 848.275,01 eura i u cijelosti se odnose na obveze Općine Budinščina.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Unutargrupne transakcije koje su u izvještajima eliminirane</w:t>
      </w:r>
    </w:p>
    <w:p>
      <w:r>
        <w:t xml:space="preserve">U izvještajima eliminirane su transakcije koje se odnose na prijenose proračunskom korisniku – Dječjem vrtiću Budinščina – grupa 367 i 671 u iznosu od 217.128,62 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Manjak ili višak u poslovanju grupe i pregled strukture manjka/viška po proračunskim korisnicima </w:t>
      </w:r>
    </w:p>
    <w:p>
      <w:r>
        <w:t xml:space="preserve">U izvještajnom razdoblju od 1. siječnja do 30. lipnja 2026. godine, Općina Budinščina ostvarila je konsolidirani višak prihoda od 76.694,88 eura i manjak od 999,96 eura kod Dječjeg vrtića Budinščina, jer se radi o evidentiranju rashoda u razdobljima na koja se odnose, dok se prihodi knjiže u trenutku njihove naplate. 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8a88f7b7c534e79" /></Relationships>
</file>